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Screen Reader Quick Start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rPr>
          <w:tblHeader w:val="true"/>
        </w:trPr>
        <w:tc>
          <w:tcPr>
            <w:tcW w:type="dxa" w:w="2880"/>
          </w:tcPr>
          <w:p>
            <w:r/>
            <w:r>
              <w:rPr>
                <w:b/>
              </w:rPr>
              <w:t>Platform</w:t>
            </w:r>
          </w:p>
        </w:tc>
        <w:tc>
          <w:tcPr>
            <w:tcW w:type="dxa" w:w="2880"/>
          </w:tcPr>
          <w:p>
            <w:r/>
            <w:r>
              <w:rPr>
                <w:b/>
              </w:rPr>
              <w:t>Screen reader</w:t>
            </w:r>
          </w:p>
        </w:tc>
        <w:tc>
          <w:tcPr>
            <w:tcW w:type="dxa" w:w="2880"/>
          </w:tcPr>
          <w:p>
            <w:r/>
            <w:r>
              <w:rPr>
                <w:b/>
              </w:rPr>
              <w:t>Start/Stop</w:t>
            </w:r>
          </w:p>
        </w:tc>
      </w:tr>
      <w:tr>
        <w:tc>
          <w:tcPr>
            <w:tcW w:type="dxa" w:w="2880"/>
          </w:tcPr>
          <w:p>
            <w:r/>
            <w:r>
              <w:rPr/>
              <w:t>Windows (free)</w:t>
            </w:r>
          </w:p>
        </w:tc>
        <w:tc>
          <w:tcPr>
            <w:tcW w:type="dxa" w:w="2880"/>
          </w:tcPr>
          <w:p>
            <w:r/>
            <w:r>
              <w:rPr/>
              <w:t>NVDA</w:t>
            </w:r>
          </w:p>
        </w:tc>
        <w:tc>
          <w:tcPr>
            <w:tcW w:type="dxa" w:w="2880"/>
          </w:tcPr>
          <w:p>
            <w:r/>
            <w:r>
              <w:rPr/>
              <w:t>Ctrl</w:t>
            </w:r>
            <w:r>
              <w:rPr/>
              <w:t>+</w:t>
            </w:r>
            <w:r>
              <w:rPr/>
              <w:t>Alt</w:t>
            </w:r>
            <w:r>
              <w:rPr/>
              <w:t>+</w:t>
            </w:r>
            <w:r>
              <w:rPr/>
              <w:t>N</w:t>
            </w:r>
            <w:r>
              <w:rPr/>
              <w:t xml:space="preserve"> / </w:t>
            </w:r>
            <w:r>
              <w:rPr/>
              <w:t>Insert</w:t>
            </w:r>
            <w:r>
              <w:rPr/>
              <w:t>+</w:t>
            </w:r>
            <w:r>
              <w:rPr/>
              <w:t>Q</w:t>
            </w:r>
          </w:p>
        </w:tc>
      </w:tr>
      <w:tr>
        <w:tc>
          <w:tcPr>
            <w:tcW w:type="dxa" w:w="2880"/>
          </w:tcPr>
          <w:p>
            <w:r/>
            <w:r>
              <w:rPr/>
              <w:t>Windows (built-in)</w:t>
            </w:r>
          </w:p>
        </w:tc>
        <w:tc>
          <w:tcPr>
            <w:tcW w:type="dxa" w:w="2880"/>
          </w:tcPr>
          <w:p>
            <w:r/>
            <w:r>
              <w:rPr/>
              <w:t>Narrator</w:t>
            </w:r>
          </w:p>
        </w:tc>
        <w:tc>
          <w:tcPr>
            <w:tcW w:type="dxa" w:w="2880"/>
          </w:tcPr>
          <w:p>
            <w:r/>
            <w:r>
              <w:rPr/>
              <w:t>Win</w:t>
            </w:r>
            <w:r>
              <w:rPr/>
              <w:t>+</w:t>
            </w:r>
            <w:r>
              <w:rPr/>
              <w:t>Ctrl</w:t>
            </w:r>
            <w:r>
              <w:rPr/>
              <w:t>+</w:t>
            </w:r>
            <w:r>
              <w:rPr/>
              <w:t>Enter</w:t>
            </w:r>
          </w:p>
        </w:tc>
      </w:tr>
      <w:tr>
        <w:tc>
          <w:tcPr>
            <w:tcW w:type="dxa" w:w="2880"/>
          </w:tcPr>
          <w:p>
            <w:r/>
            <w:r>
              <w:rPr/>
              <w:t>Mac</w:t>
            </w:r>
          </w:p>
        </w:tc>
        <w:tc>
          <w:tcPr>
            <w:tcW w:type="dxa" w:w="2880"/>
          </w:tcPr>
          <w:p>
            <w:r/>
            <w:r>
              <w:rPr/>
              <w:t>VoiceOver</w:t>
            </w:r>
          </w:p>
        </w:tc>
        <w:tc>
          <w:tcPr>
            <w:tcW w:type="dxa" w:w="2880"/>
          </w:tcPr>
          <w:p>
            <w:r/>
            <w:r>
              <w:rPr/>
              <w:t>Cmd</w:t>
            </w:r>
            <w:r>
              <w:rPr/>
              <w:t>+</w:t>
            </w:r>
            <w:r>
              <w:rPr/>
              <w:t>F5</w:t>
            </w:r>
          </w:p>
        </w:tc>
      </w:tr>
      <w:tr>
        <w:tc>
          <w:tcPr>
            <w:tcW w:type="dxa" w:w="2880"/>
          </w:tcPr>
          <w:p>
            <w:r/>
            <w:r>
              <w:rPr/>
              <w:t>iPhone/iPad</w:t>
            </w:r>
          </w:p>
        </w:tc>
        <w:tc>
          <w:tcPr>
            <w:tcW w:type="dxa" w:w="2880"/>
          </w:tcPr>
          <w:p>
            <w:r/>
            <w:r>
              <w:rPr/>
              <w:t>VoiceOver</w:t>
            </w:r>
          </w:p>
        </w:tc>
        <w:tc>
          <w:tcPr>
            <w:tcW w:type="dxa" w:w="2880"/>
          </w:tcPr>
          <w:p>
            <w:r/>
            <w:r>
              <w:rPr/>
              <w:t>Settings → Accessibility → VoiceOver (or triple-click home/side)</w:t>
            </w:r>
          </w:p>
        </w:tc>
      </w:tr>
      <w:tr>
        <w:tc>
          <w:tcPr>
            <w:tcW w:type="dxa" w:w="2880"/>
          </w:tcPr>
          <w:p>
            <w:r/>
            <w:r>
              <w:rPr/>
              <w:t>Android</w:t>
            </w:r>
          </w:p>
        </w:tc>
        <w:tc>
          <w:tcPr>
            <w:tcW w:type="dxa" w:w="2880"/>
          </w:tcPr>
          <w:p>
            <w:r/>
            <w:r>
              <w:rPr/>
              <w:t>TalkBack</w:t>
            </w:r>
          </w:p>
        </w:tc>
        <w:tc>
          <w:tcPr>
            <w:tcW w:type="dxa" w:w="2880"/>
          </w:tcPr>
          <w:p>
            <w:r/>
            <w:r>
              <w:rPr/>
              <w:t>Settings → Accessibility → TalkBack</w:t>
            </w:r>
          </w:p>
        </w:tc>
      </w:tr>
    </w:tbl>
    <w:p>
      <w:r>
        <w:rPr>
          <w:b/>
        </w:rPr>
        <w:t>Basic NVDA commands:</w:t>
      </w:r>
    </w:p>
    <w:p>
      <w:pPr>
        <w:pStyle w:val="ListBullet"/>
      </w:pPr>
      <w:r>
        <w:rPr/>
        <w:t>↓</w:t>
      </w:r>
      <w:r>
        <w:rPr/>
        <w:t xml:space="preserve"> Next item</w:t>
      </w:r>
    </w:p>
    <w:p>
      <w:pPr>
        <w:pStyle w:val="ListBullet"/>
      </w:pPr>
      <w:r>
        <w:rPr/>
        <w:t>H</w:t>
      </w:r>
      <w:r>
        <w:rPr/>
        <w:t xml:space="preserve"> Next heading</w:t>
      </w:r>
    </w:p>
    <w:p>
      <w:pPr>
        <w:pStyle w:val="ListBullet"/>
      </w:pPr>
      <w:r>
        <w:rPr/>
        <w:t>K</w:t>
      </w:r>
      <w:r>
        <w:rPr/>
        <w:t xml:space="preserve"> Next link</w:t>
      </w:r>
    </w:p>
    <w:p>
      <w:pPr>
        <w:pStyle w:val="ListBullet"/>
      </w:pPr>
      <w:r>
        <w:rPr/>
        <w:t>F</w:t>
      </w:r>
      <w:r>
        <w:rPr/>
        <w:t xml:space="preserve"> Next form field</w:t>
      </w:r>
    </w:p>
    <w:p>
      <w:pPr>
        <w:pStyle w:val="ListBullet"/>
      </w:pPr>
      <w:r>
        <w:rPr/>
        <w:t>T</w:t>
      </w:r>
      <w:r>
        <w:rPr/>
        <w:t xml:space="preserve"> Next table</w:t>
      </w:r>
    </w:p>
    <w:p>
      <w:pPr>
        <w:pStyle w:val="ListBullet"/>
      </w:pPr>
      <w:r>
        <w:rPr/>
        <w:t>D</w:t>
      </w:r>
      <w:r>
        <w:rPr/>
        <w:t xml:space="preserve"> Next landmark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University of Arizona Digital Accessibility. Updated October 2026. Current version: </w:t>
    </w:r>
    <w:hyperlink r:id="rId1">
      <w:r>
        <w:rPr>
          <w:rStyle w:val="Hyperlink"/>
          <w:color w:val="0C234B"/>
          <w:u w:val="single"/>
        </w:rPr>
        <w:t xml:space="preserve">accessibility.arizona.edu quick reference cards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C234B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C234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C234B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accessibility.arizona.edu/tools-checklists/quick-reference-card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Screen Reader Quick Start: Accessibility at Arizona</dc:title>
  <dc:subject>Quick Reference Card</dc:subject>
  <dc:creator>University of Arizona Digital Accessibility</dc:creator>
  <cp:keywords>accessibility, quick reference card, University of Arizona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